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A6" w:rsidRDefault="00FB5531">
      <w:r>
        <w:rPr>
          <w:noProof/>
          <w:lang w:eastAsia="es-MX"/>
        </w:rPr>
        <w:drawing>
          <wp:inline distT="0" distB="0" distL="0" distR="0">
            <wp:extent cx="5039429" cy="5201376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746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86DAE">
        <w:rPr>
          <w:noProof/>
          <w:lang w:eastAsia="es-MX"/>
        </w:rPr>
        <w:drawing>
          <wp:inline distT="0" distB="0" distL="0" distR="0">
            <wp:extent cx="5612130" cy="282321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F9F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7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31"/>
    <w:rsid w:val="004E70A6"/>
    <w:rsid w:val="00602CAB"/>
    <w:rsid w:val="00B86DAE"/>
    <w:rsid w:val="00F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COMISION NACIONAL DE LOS DERECHOS HUMANOS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Sanchez Torres</dc:creator>
  <cp:lastModifiedBy>Raul Sanchez Torres</cp:lastModifiedBy>
  <cp:revision>3</cp:revision>
  <dcterms:created xsi:type="dcterms:W3CDTF">2015-04-09T01:42:00Z</dcterms:created>
  <dcterms:modified xsi:type="dcterms:W3CDTF">2015-04-09T05:06:00Z</dcterms:modified>
</cp:coreProperties>
</file>